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3B" w:rsidRDefault="00601D3B" w:rsidP="00601D3B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Инфракрасная спектрофотометрия.</w:t>
      </w:r>
    </w:p>
    <w:p w:rsidR="0046483B" w:rsidRPr="003B6565" w:rsidRDefault="0046483B" w:rsidP="004648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az-Latn-AZ"/>
        </w:rPr>
      </w:pPr>
      <w:r>
        <w:rPr>
          <w:bCs/>
          <w:sz w:val="28"/>
          <w:szCs w:val="28"/>
          <w:lang w:val="az-Latn-AZ"/>
        </w:rPr>
        <w:t>Инфракрасная спектроскопия (колебательная спектроскопия) — раздел спектроскопии, изучающий действие инфракрасного излучения на вещества.</w:t>
      </w:r>
      <w:r w:rsidR="00E47C6D">
        <w:rPr>
          <w:bCs/>
          <w:sz w:val="28"/>
          <w:szCs w:val="28"/>
        </w:rPr>
        <w:t xml:space="preserve"> </w:t>
      </w:r>
      <w:r>
        <w:rPr>
          <w:sz w:val="28"/>
          <w:szCs w:val="28"/>
          <w:lang w:val="az-Latn-AZ"/>
        </w:rPr>
        <w:t>При прохождении инфракрасных лучей через вещество возбуждаются их молекулы или определенные фрагменты. В это время фиксируется уменьшение интенсивности луча, проходящего через испытуемое вещество. Однако поглощение инфракрасных лучей происходит не во всем спектре, а только в длинах волн, соответствующих возбуждению молекул. В связи с этим длины волн с определенным максимальным поглощением в инфракрасном спектре свидетельствуют о наличии в его составе различных функциональных групп. Поэтому инфракрасная спектроскопия широко применяется для изучения строения веществ.</w:t>
      </w:r>
    </w:p>
    <w:p w:rsidR="0046483B" w:rsidRDefault="0046483B" w:rsidP="004648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az-Latn-AZ"/>
        </w:rPr>
      </w:pPr>
      <w:r w:rsidRPr="00573758">
        <w:rPr>
          <w:sz w:val="28"/>
          <w:szCs w:val="28"/>
          <w:lang w:val="az-Latn-AZ"/>
        </w:rPr>
        <w:t>Характер полос поглощения в инфракрасном поле зависит от изменения состояния и осциллирующих смещений ядер, входящих в состав молекулы вещества, поглощающего электромагнитное излучение. Поэтому молекулы с дипольными состояниями, изменяющимися при колебательном движении их ядра, обладают свойством поглощения в инфракрасном поле. Области применения инфракрасной спектроскопии шире, чем УФ. ИК-спектр однозначно характеризует молекулярную структуру вещества. Высокая специфичность, объективность получаемых результатов, а также возможность анализа веществ в кристаллической форме относятся к достоинствам ИК-спектроскопии. В однолучевых или двухлучевых ИК-спектрофотометрах для регистрации ИК-спектров используют смесь вещества в вазелин</w:t>
      </w:r>
      <w:proofErr w:type="spellStart"/>
      <w:r w:rsidR="00E47C6D">
        <w:rPr>
          <w:sz w:val="28"/>
          <w:szCs w:val="28"/>
        </w:rPr>
        <w:t>овом</w:t>
      </w:r>
      <w:proofErr w:type="spellEnd"/>
      <w:r w:rsidR="00E47C6D">
        <w:rPr>
          <w:sz w:val="28"/>
          <w:szCs w:val="28"/>
        </w:rPr>
        <w:t xml:space="preserve"> масле</w:t>
      </w:r>
      <w:r w:rsidRPr="00573758">
        <w:rPr>
          <w:sz w:val="28"/>
          <w:szCs w:val="28"/>
          <w:lang w:val="az-Latn-AZ"/>
        </w:rPr>
        <w:t xml:space="preserve"> или </w:t>
      </w:r>
      <w:r w:rsidR="00E47C6D" w:rsidRPr="00573758">
        <w:rPr>
          <w:sz w:val="28"/>
          <w:szCs w:val="28"/>
          <w:lang w:val="az-Latn-AZ"/>
        </w:rPr>
        <w:t>вещество</w:t>
      </w:r>
      <w:r w:rsidR="00E47C6D" w:rsidRPr="00573758">
        <w:rPr>
          <w:sz w:val="28"/>
          <w:szCs w:val="28"/>
          <w:lang w:val="az-Latn-AZ"/>
        </w:rPr>
        <w:t xml:space="preserve"> </w:t>
      </w:r>
      <w:r w:rsidRPr="00573758">
        <w:rPr>
          <w:sz w:val="28"/>
          <w:szCs w:val="28"/>
          <w:lang w:val="az-Latn-AZ"/>
        </w:rPr>
        <w:t xml:space="preserve">помещают между пластинами </w:t>
      </w:r>
      <w:r w:rsidR="00E47C6D" w:rsidRPr="00573758">
        <w:rPr>
          <w:sz w:val="28"/>
          <w:szCs w:val="28"/>
          <w:lang w:val="az-Latn-AZ"/>
        </w:rPr>
        <w:t>калия</w:t>
      </w:r>
      <w:r w:rsidR="00E47C6D" w:rsidRPr="00573758">
        <w:rPr>
          <w:sz w:val="28"/>
          <w:szCs w:val="28"/>
          <w:lang w:val="az-Latn-AZ"/>
        </w:rPr>
        <w:t xml:space="preserve"> </w:t>
      </w:r>
      <w:r w:rsidRPr="00573758">
        <w:rPr>
          <w:sz w:val="28"/>
          <w:szCs w:val="28"/>
          <w:lang w:val="az-Latn-AZ"/>
        </w:rPr>
        <w:t>бромида.</w:t>
      </w:r>
    </w:p>
    <w:p w:rsidR="0046483B" w:rsidRPr="001434A2" w:rsidRDefault="0046483B" w:rsidP="004648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Инфракрасный спектр является функцией излучаемого инфракрасного излучения в зависимости от его частоты. Инфракрасная спектроскопия является ценным аналитическим методом и применяется при изучении различных органических, неорганических и координационных веществ. Инфракрасная спектроскопия является широко распространенным аналитическим методом, основанным на поглощении электромагнитных волн, и успешно применяется </w:t>
      </w:r>
      <w:r>
        <w:rPr>
          <w:sz w:val="28"/>
          <w:szCs w:val="28"/>
          <w:lang w:val="az-Latn-AZ"/>
        </w:rPr>
        <w:lastRenderedPageBreak/>
        <w:t xml:space="preserve">при изучении химического строения веществ в фармацевтической химии, </w:t>
      </w:r>
      <w:r w:rsidR="00E47C6D">
        <w:rPr>
          <w:sz w:val="28"/>
          <w:szCs w:val="28"/>
        </w:rPr>
        <w:t>для</w:t>
      </w:r>
      <w:r>
        <w:rPr>
          <w:sz w:val="28"/>
          <w:szCs w:val="28"/>
          <w:lang w:val="az-Latn-AZ"/>
        </w:rPr>
        <w:t xml:space="preserve"> их </w:t>
      </w:r>
      <w:r w:rsidR="00E47C6D">
        <w:rPr>
          <w:sz w:val="28"/>
          <w:szCs w:val="28"/>
        </w:rPr>
        <w:t>идентификации</w:t>
      </w:r>
      <w:r>
        <w:rPr>
          <w:sz w:val="28"/>
          <w:szCs w:val="28"/>
          <w:lang w:val="az-Latn-AZ"/>
        </w:rPr>
        <w:t xml:space="preserve"> и количественно</w:t>
      </w:r>
      <w:proofErr w:type="spellStart"/>
      <w:r w:rsidR="00E47C6D">
        <w:rPr>
          <w:sz w:val="28"/>
          <w:szCs w:val="28"/>
        </w:rPr>
        <w:t>го</w:t>
      </w:r>
      <w:proofErr w:type="spellEnd"/>
      <w:r>
        <w:rPr>
          <w:sz w:val="28"/>
          <w:szCs w:val="28"/>
          <w:lang w:val="az-Latn-AZ"/>
        </w:rPr>
        <w:t xml:space="preserve"> определени</w:t>
      </w:r>
      <w:r w:rsidR="00E47C6D">
        <w:rPr>
          <w:sz w:val="28"/>
          <w:szCs w:val="28"/>
        </w:rPr>
        <w:t>я</w:t>
      </w:r>
      <w:r>
        <w:rPr>
          <w:sz w:val="28"/>
          <w:szCs w:val="28"/>
          <w:lang w:val="az-Latn-AZ"/>
        </w:rPr>
        <w:t>. С помощью инфракрасной спектроскопии быстро и точно определяют различные функциональные группы в молекуле: карбонильные, карбоксильные, гидроксильные, моно-, би-, триамидные и аминогруппы и др. Также можно точно идентифицировать части молекулы с ненасыщенными связями (двойные и тройные связи, ароматические части и т. д.). Еще одним преимуществом инфракрасной спектроскопии является возможность регистрации спектров веществ в различных агрегатных состояниях — твердом, жидком и газообразном. Кроме того, интерпретация инфракрасных спектров проще, чем другие спектроскопические методы.</w:t>
      </w:r>
    </w:p>
    <w:p w:rsidR="0046483B" w:rsidRPr="00573758" w:rsidRDefault="0046483B" w:rsidP="004648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 w:rsidRPr="00573758">
        <w:rPr>
          <w:rFonts w:ascii="Times New Roman" w:eastAsia="MS Mincho" w:hAnsi="Times New Roman" w:cs="Times New Roman"/>
          <w:sz w:val="28"/>
          <w:szCs w:val="28"/>
          <w:lang w:val="az-Latn-AZ"/>
        </w:rPr>
        <w:tab/>
        <w:t>Исключительное значение для идентификации веществ имеет ИК-спектроскопия.</w:t>
      </w:r>
    </w:p>
    <w:p w:rsidR="0046483B" w:rsidRPr="00573758" w:rsidRDefault="0046483B" w:rsidP="004648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 w:rsidRPr="00573758">
        <w:rPr>
          <w:rFonts w:ascii="Times New Roman" w:eastAsia="MS Mincho" w:hAnsi="Times New Roman" w:cs="Times New Roman"/>
          <w:sz w:val="28"/>
          <w:szCs w:val="28"/>
          <w:lang w:val="az-Latn-AZ"/>
        </w:rPr>
        <w:tab/>
      </w:r>
      <w:r w:rsidR="00E47C6D">
        <w:rPr>
          <w:rFonts w:ascii="Times New Roman" w:eastAsia="MS Mincho" w:hAnsi="Times New Roman" w:cs="Times New Roman"/>
          <w:sz w:val="28"/>
          <w:szCs w:val="28"/>
        </w:rPr>
        <w:t>В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 основном для анализа лекарственных веществ</w:t>
      </w:r>
      <w:r w:rsidR="00E47C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используются области </w:t>
      </w:r>
      <w:r w:rsidR="00E47C6D">
        <w:rPr>
          <w:rFonts w:ascii="Times New Roman" w:eastAsia="MS Mincho" w:hAnsi="Times New Roman" w:cs="Times New Roman"/>
          <w:sz w:val="28"/>
          <w:szCs w:val="28"/>
        </w:rPr>
        <w:t xml:space="preserve">длин волн 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спектра от </w:t>
      </w:r>
      <w:r w:rsidR="00E47C6D" w:rsidRPr="00573758">
        <w:rPr>
          <w:rFonts w:ascii="Times New Roman" w:eastAsia="MS Mincho" w:hAnsi="Times New Roman" w:cs="Times New Roman"/>
          <w:sz w:val="28"/>
          <w:szCs w:val="28"/>
          <w:lang w:val="az-Latn-AZ"/>
        </w:rPr>
        <w:t>4000</w:t>
      </w:r>
      <w:r w:rsidR="00E47C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/>
        </w:rPr>
        <w:t>до 400 см</w:t>
      </w:r>
      <w:r w:rsidRPr="00E47C6D">
        <w:rPr>
          <w:rFonts w:ascii="Times New Roman" w:eastAsia="MS Mincho" w:hAnsi="Times New Roman" w:cs="Times New Roman"/>
          <w:sz w:val="28"/>
          <w:szCs w:val="28"/>
          <w:vertAlign w:val="superscript"/>
          <w:lang w:val="az-Latn-AZ"/>
        </w:rPr>
        <w:t>-1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/>
        </w:rPr>
        <w:t>.</w:t>
      </w:r>
    </w:p>
    <w:p w:rsidR="0046483B" w:rsidRPr="00573758" w:rsidRDefault="0046483B" w:rsidP="004648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 w:rsidRPr="00573758">
        <w:rPr>
          <w:rFonts w:ascii="Times New Roman" w:eastAsia="MS Mincho" w:hAnsi="Times New Roman" w:cs="Times New Roman"/>
          <w:sz w:val="28"/>
          <w:szCs w:val="28"/>
          <w:lang w:val="az-Latn-AZ"/>
        </w:rPr>
        <w:tab/>
        <w:t>ИК-спектр вещества можно разделить на три части:</w:t>
      </w:r>
    </w:p>
    <w:p w:rsidR="0046483B" w:rsidRPr="00573758" w:rsidRDefault="0046483B" w:rsidP="0046483B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 w:rsidRPr="00573758">
        <w:rPr>
          <w:rFonts w:ascii="Times New Roman" w:eastAsia="MS Mincho" w:hAnsi="Times New Roman" w:cs="Times New Roman"/>
          <w:sz w:val="28"/>
          <w:szCs w:val="28"/>
          <w:lang w:val="az-Latn-AZ"/>
        </w:rPr>
        <w:t>3200-3600 см</w:t>
      </w:r>
      <w:r w:rsidRPr="00E47C6D">
        <w:rPr>
          <w:rFonts w:ascii="Times New Roman" w:eastAsia="MS Mincho" w:hAnsi="Times New Roman" w:cs="Times New Roman"/>
          <w:sz w:val="28"/>
          <w:szCs w:val="28"/>
          <w:vertAlign w:val="superscript"/>
          <w:lang w:val="az-Latn-AZ"/>
        </w:rPr>
        <w:t>-1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 области спектра - в этой области определяются участки, относящиеся к гидроксильным группам в молекулярном составе вещества. Полосы поглощения в областях 2993-2976 и 2851-2856 см</w:t>
      </w:r>
      <w:r w:rsidRPr="00E47C6D">
        <w:rPr>
          <w:rFonts w:ascii="Times New Roman" w:eastAsia="MS Mincho" w:hAnsi="Times New Roman" w:cs="Times New Roman"/>
          <w:sz w:val="28"/>
          <w:szCs w:val="28"/>
          <w:vertAlign w:val="superscript"/>
          <w:lang w:val="az-Latn-AZ"/>
        </w:rPr>
        <w:t>-1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 в соединениях, содержащих метоксигруппы в молекуле</w:t>
      </w:r>
      <w:r w:rsidR="00E47C6D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/>
        </w:rPr>
        <w:t>характеризуются мет</w:t>
      </w:r>
      <w:proofErr w:type="spellStart"/>
      <w:r w:rsidR="00E47C6D">
        <w:rPr>
          <w:rFonts w:ascii="Times New Roman" w:eastAsia="MS Mincho" w:hAnsi="Times New Roman" w:cs="Times New Roman"/>
          <w:sz w:val="28"/>
          <w:szCs w:val="28"/>
        </w:rPr>
        <w:t>оксильной</w:t>
      </w:r>
      <w:proofErr w:type="spellEnd"/>
      <w:r w:rsidRPr="00573758"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 группой ОСН</w:t>
      </w:r>
      <w:r w:rsidRPr="00E47C6D">
        <w:rPr>
          <w:rFonts w:ascii="Times New Roman" w:eastAsia="MS Mincho" w:hAnsi="Times New Roman" w:cs="Times New Roman"/>
          <w:sz w:val="28"/>
          <w:szCs w:val="28"/>
          <w:vertAlign w:val="subscript"/>
          <w:lang w:val="az-Latn-AZ"/>
        </w:rPr>
        <w:t>3</w:t>
      </w:r>
      <w:r w:rsidR="00E47C6D">
        <w:rPr>
          <w:rFonts w:ascii="Times New Roman" w:eastAsia="MS Mincho" w:hAnsi="Times New Roman" w:cs="Times New Roman"/>
          <w:sz w:val="28"/>
          <w:szCs w:val="28"/>
        </w:rPr>
        <w:t>).</w:t>
      </w:r>
    </w:p>
    <w:p w:rsidR="0046483B" w:rsidRPr="00573758" w:rsidRDefault="0046483B" w:rsidP="0046483B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 w:rsidRPr="00573758">
        <w:rPr>
          <w:rFonts w:ascii="Times New Roman" w:eastAsia="MS Mincho" w:hAnsi="Times New Roman" w:cs="Times New Roman"/>
          <w:sz w:val="28"/>
          <w:szCs w:val="28"/>
          <w:lang w:val="az-Latn-AZ"/>
        </w:rPr>
        <w:t>Области спектра 1500-1800 см</w:t>
      </w:r>
      <w:r w:rsidRPr="00E47C6D">
        <w:rPr>
          <w:rFonts w:ascii="Times New Roman" w:eastAsia="MS Mincho" w:hAnsi="Times New Roman" w:cs="Times New Roman"/>
          <w:sz w:val="28"/>
          <w:szCs w:val="28"/>
          <w:vertAlign w:val="superscript"/>
          <w:lang w:val="az-Latn-AZ"/>
        </w:rPr>
        <w:t>-1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 являются частью характеристических полос поглощения. В области 1700-1750 см</w:t>
      </w:r>
      <w:r w:rsidRPr="00E47C6D">
        <w:rPr>
          <w:rFonts w:ascii="Times New Roman" w:eastAsia="MS Mincho" w:hAnsi="Times New Roman" w:cs="Times New Roman"/>
          <w:sz w:val="28"/>
          <w:szCs w:val="28"/>
          <w:vertAlign w:val="superscript"/>
          <w:lang w:val="az-Latn-AZ"/>
        </w:rPr>
        <w:t>-1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 спектра определяются карбонильные (С=0) группы в молекуле, представляющие собой карбонил сложного эфира (1700-1735 см</w:t>
      </w:r>
      <w:r w:rsidRPr="00E47C6D">
        <w:rPr>
          <w:rFonts w:ascii="Times New Roman" w:eastAsia="MS Mincho" w:hAnsi="Times New Roman" w:cs="Times New Roman"/>
          <w:sz w:val="28"/>
          <w:szCs w:val="28"/>
          <w:vertAlign w:val="superscript"/>
          <w:lang w:val="az-Latn-AZ"/>
        </w:rPr>
        <w:t>-1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/>
        </w:rPr>
        <w:t>), карбонил δ-лактонов</w:t>
      </w:r>
      <w:r w:rsidR="00E47C6D">
        <w:rPr>
          <w:rFonts w:ascii="Times New Roman" w:eastAsia="MS Mincho" w:hAnsi="Times New Roman" w:cs="Times New Roman"/>
          <w:sz w:val="28"/>
          <w:szCs w:val="28"/>
        </w:rPr>
        <w:t xml:space="preserve">ого 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 цикл</w:t>
      </w:r>
      <w:r w:rsidR="00E47C6D">
        <w:rPr>
          <w:rFonts w:ascii="Times New Roman" w:eastAsia="MS Mincho" w:hAnsi="Times New Roman" w:cs="Times New Roman"/>
          <w:sz w:val="28"/>
          <w:szCs w:val="28"/>
        </w:rPr>
        <w:t>а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 (1670-1720 см</w:t>
      </w:r>
      <w:r w:rsidRPr="00E47C6D">
        <w:rPr>
          <w:rFonts w:ascii="Times New Roman" w:eastAsia="MS Mincho" w:hAnsi="Times New Roman" w:cs="Times New Roman"/>
          <w:sz w:val="28"/>
          <w:szCs w:val="28"/>
          <w:vertAlign w:val="superscript"/>
          <w:lang w:val="az-Latn-AZ"/>
        </w:rPr>
        <w:t>-1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/>
        </w:rPr>
        <w:t>) или может быть карбонилом µ-лактонного цикла (1650-1780 см</w:t>
      </w:r>
      <w:r w:rsidRPr="00E47C6D">
        <w:rPr>
          <w:rFonts w:ascii="Times New Roman" w:eastAsia="MS Mincho" w:hAnsi="Times New Roman" w:cs="Times New Roman"/>
          <w:sz w:val="28"/>
          <w:szCs w:val="28"/>
          <w:vertAlign w:val="superscript"/>
          <w:lang w:val="az-Latn-AZ"/>
        </w:rPr>
        <w:t>-1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). В зависимости от различных групп природных соединений могут быть сдвиги в характерных областях поглощения. Например, если карбонильная группа µ-лактонового цикла </w:t>
      </w:r>
      <w:proofErr w:type="spellStart"/>
      <w:r w:rsidR="00E47C6D">
        <w:rPr>
          <w:rFonts w:ascii="Times New Roman" w:eastAsia="MS Mincho" w:hAnsi="Times New Roman" w:cs="Times New Roman"/>
          <w:sz w:val="28"/>
          <w:szCs w:val="28"/>
        </w:rPr>
        <w:t>конюгирована</w:t>
      </w:r>
      <w:proofErr w:type="spellEnd"/>
      <w:r w:rsidRPr="00573758"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 с экзоциклической метиленовой двойной связью, ее полоса поглощения определяется в относительно небольшой области (1750-1770 см</w:t>
      </w:r>
      <w:r w:rsidRPr="00E47C6D">
        <w:rPr>
          <w:rFonts w:ascii="Times New Roman" w:eastAsia="MS Mincho" w:hAnsi="Times New Roman" w:cs="Times New Roman"/>
          <w:sz w:val="28"/>
          <w:szCs w:val="28"/>
          <w:vertAlign w:val="superscript"/>
          <w:lang w:val="az-Latn-AZ"/>
        </w:rPr>
        <w:t>-1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/>
        </w:rPr>
        <w:t>).</w:t>
      </w:r>
    </w:p>
    <w:p w:rsidR="0046483B" w:rsidRPr="00573758" w:rsidRDefault="0046483B" w:rsidP="0046483B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 w:rsidRPr="00573758">
        <w:rPr>
          <w:rFonts w:ascii="Times New Roman" w:eastAsia="MS Mincho" w:hAnsi="Times New Roman" w:cs="Times New Roman"/>
          <w:sz w:val="28"/>
          <w:szCs w:val="28"/>
          <w:lang w:val="az-Latn-AZ"/>
        </w:rPr>
        <w:lastRenderedPageBreak/>
        <w:t xml:space="preserve">Полосы поглощения двойных связей </w:t>
      </w:r>
      <w:r w:rsidR="00E47C6D">
        <w:rPr>
          <w:rFonts w:ascii="Times New Roman" w:eastAsia="MS Mincho" w:hAnsi="Times New Roman" w:cs="Times New Roman"/>
          <w:sz w:val="28"/>
          <w:szCs w:val="28"/>
        </w:rPr>
        <w:t xml:space="preserve">находятся 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/>
        </w:rPr>
        <w:t>в полях 1500-1690 см</w:t>
      </w:r>
      <w:r w:rsidRPr="00E47C6D">
        <w:rPr>
          <w:rFonts w:ascii="Times New Roman" w:eastAsia="MS Mincho" w:hAnsi="Times New Roman" w:cs="Times New Roman"/>
          <w:sz w:val="28"/>
          <w:szCs w:val="28"/>
          <w:vertAlign w:val="superscript"/>
          <w:lang w:val="az-Latn-AZ"/>
        </w:rPr>
        <w:t>-1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 ИК спектра, полосы поглощения ароматической системы в полях 1500-1630 см</w:t>
      </w:r>
      <w:r w:rsidRPr="00E47C6D">
        <w:rPr>
          <w:rFonts w:ascii="Times New Roman" w:eastAsia="MS Mincho" w:hAnsi="Times New Roman" w:cs="Times New Roman"/>
          <w:sz w:val="28"/>
          <w:szCs w:val="28"/>
          <w:vertAlign w:val="superscript"/>
          <w:lang w:val="az-Latn-AZ"/>
        </w:rPr>
        <w:t>-1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/>
        </w:rPr>
        <w:t>, полосы поглощения СОО-группы в полях 1700-1710 см</w:t>
      </w:r>
      <w:r w:rsidRPr="00E47C6D">
        <w:rPr>
          <w:rFonts w:ascii="Times New Roman" w:eastAsia="MS Mincho" w:hAnsi="Times New Roman" w:cs="Times New Roman"/>
          <w:sz w:val="28"/>
          <w:szCs w:val="28"/>
          <w:vertAlign w:val="superscript"/>
          <w:lang w:val="az-Latn-AZ"/>
        </w:rPr>
        <w:t>-1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/>
        </w:rPr>
        <w:t>, С=С в полях 1620-1680 см</w:t>
      </w:r>
      <w:r w:rsidRPr="00E47C6D">
        <w:rPr>
          <w:rFonts w:ascii="Times New Roman" w:eastAsia="MS Mincho" w:hAnsi="Times New Roman" w:cs="Times New Roman"/>
          <w:sz w:val="28"/>
          <w:szCs w:val="28"/>
          <w:vertAlign w:val="superscript"/>
          <w:lang w:val="az-Latn-AZ"/>
        </w:rPr>
        <w:t>-1</w:t>
      </w:r>
      <w:r w:rsidRPr="00573758"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 полос поглощения</w:t>
      </w:r>
      <w:r w:rsidR="00E47C6D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46483B" w:rsidRDefault="0046483B" w:rsidP="004648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az-Latn-AZ"/>
        </w:rPr>
      </w:pPr>
      <w:r w:rsidRPr="00573758">
        <w:rPr>
          <w:sz w:val="28"/>
          <w:szCs w:val="28"/>
          <w:lang w:val="az-Latn-AZ"/>
        </w:rPr>
        <w:t>Области 1300-600 см</w:t>
      </w:r>
      <w:bookmarkStart w:id="0" w:name="_GoBack"/>
      <w:r w:rsidRPr="00E47C6D">
        <w:rPr>
          <w:sz w:val="28"/>
          <w:szCs w:val="28"/>
          <w:vertAlign w:val="superscript"/>
          <w:lang w:val="az-Latn-AZ"/>
        </w:rPr>
        <w:t>-1</w:t>
      </w:r>
      <w:bookmarkEnd w:id="0"/>
      <w:r w:rsidRPr="00573758">
        <w:rPr>
          <w:sz w:val="28"/>
          <w:szCs w:val="28"/>
          <w:lang w:val="az-Latn-AZ"/>
        </w:rPr>
        <w:t xml:space="preserve"> ИК спектра индивидуальны для каждого вещества и никогда не бывают одинаковыми. Эта площадь различна даже в пространственно-изомерных соединениях. Этот участок ИК-спектра численно индивидуален для всех веществ и не повторяется.</w:t>
      </w:r>
    </w:p>
    <w:sectPr w:rsidR="0046483B" w:rsidSect="00EC7874">
      <w:headerReference w:type="default" r:id="rId8"/>
      <w:pgSz w:w="11906" w:h="16838"/>
      <w:pgMar w:top="1134" w:right="567" w:bottom="1134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82C" w:rsidRDefault="00DE182C">
      <w:pPr>
        <w:spacing w:after="0" w:line="240" w:lineRule="auto"/>
      </w:pPr>
      <w:r>
        <w:separator/>
      </w:r>
    </w:p>
  </w:endnote>
  <w:endnote w:type="continuationSeparator" w:id="0">
    <w:p w:rsidR="00DE182C" w:rsidRDefault="00DE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82C" w:rsidRDefault="00DE182C">
      <w:pPr>
        <w:spacing w:after="0" w:line="240" w:lineRule="auto"/>
      </w:pPr>
      <w:r>
        <w:separator/>
      </w:r>
    </w:p>
  </w:footnote>
  <w:footnote w:type="continuationSeparator" w:id="0">
    <w:p w:rsidR="00DE182C" w:rsidRDefault="00DE1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F79" w:rsidRDefault="00A1615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E47C6D">
      <w:rPr>
        <w:noProof/>
      </w:rPr>
      <w:t>1</w:t>
    </w:r>
    <w:r>
      <w:fldChar w:fldCharType="end"/>
    </w:r>
  </w:p>
  <w:p w:rsidR="00270F79" w:rsidRDefault="00DE18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C2628"/>
    <w:multiLevelType w:val="hybridMultilevel"/>
    <w:tmpl w:val="15F8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3B"/>
    <w:rsid w:val="00044E6C"/>
    <w:rsid w:val="001B2F56"/>
    <w:rsid w:val="0043499D"/>
    <w:rsid w:val="0046483B"/>
    <w:rsid w:val="00506B26"/>
    <w:rsid w:val="00601D3B"/>
    <w:rsid w:val="00751CBB"/>
    <w:rsid w:val="00876198"/>
    <w:rsid w:val="008A3B77"/>
    <w:rsid w:val="00A1615A"/>
    <w:rsid w:val="00BB4158"/>
    <w:rsid w:val="00D83976"/>
    <w:rsid w:val="00DD191F"/>
    <w:rsid w:val="00DE182C"/>
    <w:rsid w:val="00E47C6D"/>
    <w:rsid w:val="00EA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D3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4">
    <w:name w:val="Верхний колонтитул Знак"/>
    <w:link w:val="a5"/>
    <w:uiPriority w:val="99"/>
    <w:rsid w:val="00601D3B"/>
    <w:rPr>
      <w:rFonts w:ascii="Calibri" w:eastAsia="MS Mincho" w:hAnsi="Calibri" w:cs="Times New Roman"/>
      <w:sz w:val="20"/>
      <w:szCs w:val="20"/>
    </w:rPr>
  </w:style>
  <w:style w:type="paragraph" w:styleId="a5">
    <w:name w:val="header"/>
    <w:basedOn w:val="a"/>
    <w:link w:val="a4"/>
    <w:uiPriority w:val="99"/>
    <w:unhideWhenUsed/>
    <w:rsid w:val="00601D3B"/>
    <w:pPr>
      <w:tabs>
        <w:tab w:val="center" w:pos="4677"/>
        <w:tab w:val="right" w:pos="9355"/>
      </w:tabs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1">
    <w:name w:val="Верхний колонтитул Знак1"/>
    <w:basedOn w:val="a0"/>
    <w:uiPriority w:val="99"/>
    <w:semiHidden/>
    <w:rsid w:val="00601D3B"/>
  </w:style>
  <w:style w:type="paragraph" w:styleId="a6">
    <w:name w:val="Balloon Text"/>
    <w:basedOn w:val="a"/>
    <w:link w:val="a7"/>
    <w:uiPriority w:val="99"/>
    <w:semiHidden/>
    <w:unhideWhenUsed/>
    <w:rsid w:val="00EA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1B1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rsid w:val="00464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D3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4">
    <w:name w:val="Верхний колонтитул Знак"/>
    <w:link w:val="a5"/>
    <w:uiPriority w:val="99"/>
    <w:rsid w:val="00601D3B"/>
    <w:rPr>
      <w:rFonts w:ascii="Calibri" w:eastAsia="MS Mincho" w:hAnsi="Calibri" w:cs="Times New Roman"/>
      <w:sz w:val="20"/>
      <w:szCs w:val="20"/>
    </w:rPr>
  </w:style>
  <w:style w:type="paragraph" w:styleId="a5">
    <w:name w:val="header"/>
    <w:basedOn w:val="a"/>
    <w:link w:val="a4"/>
    <w:uiPriority w:val="99"/>
    <w:unhideWhenUsed/>
    <w:rsid w:val="00601D3B"/>
    <w:pPr>
      <w:tabs>
        <w:tab w:val="center" w:pos="4677"/>
        <w:tab w:val="right" w:pos="9355"/>
      </w:tabs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1">
    <w:name w:val="Верхний колонтитул Знак1"/>
    <w:basedOn w:val="a0"/>
    <w:uiPriority w:val="99"/>
    <w:semiHidden/>
    <w:rsid w:val="00601D3B"/>
  </w:style>
  <w:style w:type="paragraph" w:styleId="a6">
    <w:name w:val="Balloon Text"/>
    <w:basedOn w:val="a"/>
    <w:link w:val="a7"/>
    <w:uiPriority w:val="99"/>
    <w:semiHidden/>
    <w:unhideWhenUsed/>
    <w:rsid w:val="00EA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1B1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rsid w:val="0046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Lenovo-pc</cp:lastModifiedBy>
  <cp:revision>3</cp:revision>
  <dcterms:created xsi:type="dcterms:W3CDTF">2023-03-22T20:27:00Z</dcterms:created>
  <dcterms:modified xsi:type="dcterms:W3CDTF">2023-03-22T20:38:00Z</dcterms:modified>
</cp:coreProperties>
</file>